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340216009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F5C2E">
        <w:rPr>
          <w:rFonts w:ascii="Century Gothic" w:hAnsi="Century Gothic"/>
          <w:b/>
          <w:sz w:val="24"/>
          <w:szCs w:val="24"/>
        </w:rPr>
        <w:t>Quincuagésima Sexta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F5C2E">
        <w:rPr>
          <w:rFonts w:ascii="Century Gothic" w:hAnsi="Century Gothic"/>
          <w:b/>
          <w:sz w:val="24"/>
          <w:szCs w:val="24"/>
        </w:rPr>
        <w:t>diez</w:t>
      </w:r>
      <w:r w:rsidR="00D63FB1">
        <w:rPr>
          <w:rFonts w:ascii="Century Gothic" w:hAnsi="Century Gothic"/>
          <w:b/>
          <w:sz w:val="24"/>
          <w:szCs w:val="24"/>
        </w:rPr>
        <w:t xml:space="preserve"> de octubre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F5C2E" w:rsidRPr="0052553A" w:rsidRDefault="008F5C2E" w:rsidP="008F5C2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F5C2E" w:rsidRPr="0052553A" w:rsidRDefault="008F5C2E" w:rsidP="008F5C2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F5C2E" w:rsidRPr="0052553A" w:rsidRDefault="008F5C2E" w:rsidP="008F5C2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l oficio 615/2019-C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 xml:space="preserve">de Acuerdos del Primer Tribunal Colegiado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94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8F5C2E" w:rsidP="008F5C2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969/2018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94/2019 del Primer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8F5C2E">
        <w:rPr>
          <w:rFonts w:ascii="Century Gothic" w:hAnsi="Century Gothic"/>
          <w:b/>
          <w:sz w:val="24"/>
          <w:szCs w:val="24"/>
        </w:rPr>
        <w:t>ADALAJARA, JALISCO, NUEVE</w:t>
      </w:r>
      <w:bookmarkStart w:id="0" w:name="_GoBack"/>
      <w:bookmarkEnd w:id="0"/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D63FB1">
        <w:rPr>
          <w:rFonts w:ascii="Century Gothic" w:hAnsi="Century Gothic"/>
          <w:b/>
          <w:sz w:val="24"/>
          <w:szCs w:val="24"/>
        </w:rPr>
        <w:t>OCTUBRE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340216009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126A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8F5C2E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3FB1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D8EC-1C46-4312-B5EE-9FA2F3B6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2020-01-17T18:31:00Z</dcterms:created>
  <dcterms:modified xsi:type="dcterms:W3CDTF">2020-01-17T18:31:00Z</dcterms:modified>
</cp:coreProperties>
</file>